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3D" w:rsidRDefault="00BF0A3D" w:rsidP="00BF0A3D">
      <w:pPr>
        <w:rPr>
          <w:rFonts w:ascii="Calibri" w:eastAsia="Times New Roman" w:hAnsi="Calibri" w:cs="Calibri"/>
          <w:sz w:val="22"/>
          <w:szCs w:val="22"/>
        </w:rPr>
      </w:pPr>
      <w:bookmarkStart w:id="0" w:name="_GoBack"/>
      <w:bookmarkEnd w:id="0"/>
      <w:r>
        <w:rPr>
          <w:rFonts w:ascii="Calibri" w:eastAsia="Times New Roman" w:hAnsi="Calibri" w:cs="Calibri"/>
          <w:sz w:val="22"/>
          <w:szCs w:val="22"/>
        </w:rPr>
        <w:t>We the undersigned note the comments of the acting Australia Post CEO, Mr. Rodney Boys,</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at the Environment and Communications committee on 9 November 2020, where he dismissed the findings of a survey of Victorian postal workers having a negative experience with the ADM, and instead asserted a majority of posties support the ADM. </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 </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Mr. Boys dismissal of the survey as </w:t>
      </w:r>
      <w:r>
        <w:rPr>
          <w:rFonts w:ascii="Calibri" w:eastAsia="Times New Roman" w:hAnsi="Calibri" w:cs="Calibri"/>
          <w:sz w:val="22"/>
          <w:szCs w:val="22"/>
          <w:u w:val="single"/>
        </w:rPr>
        <w:t>“unrepresentative” (over 400 Posties)</w:t>
      </w:r>
      <w:r>
        <w:rPr>
          <w:rFonts w:ascii="Calibri" w:eastAsia="Times New Roman" w:hAnsi="Calibri" w:cs="Calibri"/>
          <w:sz w:val="22"/>
          <w:szCs w:val="22"/>
        </w:rPr>
        <w:t> and only in a </w:t>
      </w:r>
      <w:r>
        <w:rPr>
          <w:rFonts w:ascii="Calibri" w:eastAsia="Times New Roman" w:hAnsi="Calibri" w:cs="Calibri"/>
          <w:sz w:val="22"/>
          <w:szCs w:val="22"/>
          <w:u w:val="single"/>
        </w:rPr>
        <w:t>“small region” (Melbourne Metro)</w:t>
      </w:r>
      <w:r>
        <w:rPr>
          <w:rFonts w:ascii="Calibri" w:eastAsia="Times New Roman" w:hAnsi="Calibri" w:cs="Calibri"/>
          <w:sz w:val="22"/>
          <w:szCs w:val="22"/>
        </w:rPr>
        <w:t> shows not only a lack of understanding of the issues that Posties have identified, but also a lack of empathy in regards to the many comments that were made in the survey.</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 </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We consider the ADM is an abject failure that has led to a great deal of stress and anxiety amongst Posties, severely damaged morale and has led to a range of Health &amp; Safety Issues.</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 </w:t>
      </w:r>
    </w:p>
    <w:p w:rsidR="00BF0A3D" w:rsidRDefault="00BF0A3D" w:rsidP="00BF0A3D">
      <w:pPr>
        <w:rPr>
          <w:rFonts w:ascii="Calibri" w:eastAsia="Times New Roman" w:hAnsi="Calibri" w:cs="Calibri"/>
          <w:sz w:val="22"/>
          <w:szCs w:val="22"/>
        </w:rPr>
      </w:pPr>
      <w:r>
        <w:rPr>
          <w:rFonts w:ascii="Calibri" w:eastAsia="Times New Roman" w:hAnsi="Calibri" w:cs="Calibri"/>
          <w:sz w:val="22"/>
          <w:szCs w:val="22"/>
        </w:rPr>
        <w:t>Transferring small and medium size parcels from traditional delivery via the posties on the footpath to van delivery is less efficient and has lessened, as opposed to improving, the service for metro Melbourne communities. We call upon the Minister to end the temporary reforms as soon as possible and restore the previous service levels.</w:t>
      </w:r>
    </w:p>
    <w:p w:rsidR="00E32126" w:rsidRDefault="00E32126"/>
    <w:tbl>
      <w:tblPr>
        <w:tblStyle w:val="TableGrid"/>
        <w:tblW w:w="0" w:type="auto"/>
        <w:tblLook w:val="04A0" w:firstRow="1" w:lastRow="0" w:firstColumn="1" w:lastColumn="0" w:noHBand="0" w:noVBand="1"/>
      </w:tblPr>
      <w:tblGrid>
        <w:gridCol w:w="3088"/>
        <w:gridCol w:w="3089"/>
        <w:gridCol w:w="3089"/>
      </w:tblGrid>
      <w:tr w:rsidR="00E32126" w:rsidTr="002734D6">
        <w:trPr>
          <w:trHeight w:val="272"/>
        </w:trPr>
        <w:tc>
          <w:tcPr>
            <w:tcW w:w="3088" w:type="dxa"/>
          </w:tcPr>
          <w:p w:rsidR="00E32126" w:rsidRDefault="00E32126" w:rsidP="00E32126">
            <w:pPr>
              <w:jc w:val="center"/>
            </w:pPr>
            <w:r>
              <w:t>Name</w:t>
            </w:r>
          </w:p>
        </w:tc>
        <w:tc>
          <w:tcPr>
            <w:tcW w:w="3089" w:type="dxa"/>
          </w:tcPr>
          <w:p w:rsidR="00E32126" w:rsidRDefault="00E32126" w:rsidP="00E32126">
            <w:pPr>
              <w:jc w:val="center"/>
            </w:pPr>
            <w:r>
              <w:t>Signature</w:t>
            </w:r>
          </w:p>
        </w:tc>
        <w:tc>
          <w:tcPr>
            <w:tcW w:w="3089" w:type="dxa"/>
          </w:tcPr>
          <w:p w:rsidR="00E32126" w:rsidRDefault="00E32126">
            <w:r>
              <w:t xml:space="preserve">      Delivery Centre</w:t>
            </w:r>
          </w:p>
        </w:tc>
      </w:tr>
      <w:tr w:rsidR="00E32126" w:rsidTr="002734D6">
        <w:trPr>
          <w:trHeight w:val="468"/>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4"/>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11"/>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3"/>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9"/>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14"/>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7"/>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13"/>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5"/>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5"/>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5"/>
        </w:trPr>
        <w:tc>
          <w:tcPr>
            <w:tcW w:w="3088" w:type="dxa"/>
          </w:tcPr>
          <w:p w:rsidR="00E32126" w:rsidRDefault="00E32126"/>
        </w:tc>
        <w:tc>
          <w:tcPr>
            <w:tcW w:w="3089" w:type="dxa"/>
          </w:tcPr>
          <w:p w:rsidR="00E32126" w:rsidRDefault="00E32126"/>
        </w:tc>
        <w:tc>
          <w:tcPr>
            <w:tcW w:w="3089" w:type="dxa"/>
          </w:tcPr>
          <w:p w:rsidR="00E32126" w:rsidRDefault="00E32126"/>
        </w:tc>
      </w:tr>
      <w:tr w:rsidR="00E32126" w:rsidTr="002734D6">
        <w:trPr>
          <w:trHeight w:val="405"/>
        </w:trPr>
        <w:tc>
          <w:tcPr>
            <w:tcW w:w="3088" w:type="dxa"/>
          </w:tcPr>
          <w:p w:rsidR="00E32126" w:rsidRDefault="00E32126"/>
        </w:tc>
        <w:tc>
          <w:tcPr>
            <w:tcW w:w="3089" w:type="dxa"/>
          </w:tcPr>
          <w:p w:rsidR="00E32126" w:rsidRDefault="00E32126"/>
        </w:tc>
        <w:tc>
          <w:tcPr>
            <w:tcW w:w="3089" w:type="dxa"/>
          </w:tcPr>
          <w:p w:rsidR="00E32126" w:rsidRDefault="00E32126"/>
        </w:tc>
      </w:tr>
      <w:tr w:rsidR="00AE0A47" w:rsidTr="002734D6">
        <w:trPr>
          <w:trHeight w:val="405"/>
        </w:trPr>
        <w:tc>
          <w:tcPr>
            <w:tcW w:w="3088" w:type="dxa"/>
          </w:tcPr>
          <w:p w:rsidR="00AE0A47" w:rsidRDefault="00AE0A47"/>
        </w:tc>
        <w:tc>
          <w:tcPr>
            <w:tcW w:w="3089" w:type="dxa"/>
          </w:tcPr>
          <w:p w:rsidR="00AE0A47" w:rsidRDefault="00AE0A47"/>
        </w:tc>
        <w:tc>
          <w:tcPr>
            <w:tcW w:w="3089" w:type="dxa"/>
          </w:tcPr>
          <w:p w:rsidR="00AE0A47" w:rsidRDefault="00AE0A47"/>
        </w:tc>
      </w:tr>
      <w:tr w:rsidR="00AE0A47" w:rsidTr="002734D6">
        <w:trPr>
          <w:trHeight w:val="405"/>
        </w:trPr>
        <w:tc>
          <w:tcPr>
            <w:tcW w:w="3088" w:type="dxa"/>
          </w:tcPr>
          <w:p w:rsidR="00AE0A47" w:rsidRDefault="00AE0A47"/>
        </w:tc>
        <w:tc>
          <w:tcPr>
            <w:tcW w:w="3089" w:type="dxa"/>
          </w:tcPr>
          <w:p w:rsidR="00AE0A47" w:rsidRDefault="00AE0A47"/>
        </w:tc>
        <w:tc>
          <w:tcPr>
            <w:tcW w:w="3089" w:type="dxa"/>
          </w:tcPr>
          <w:p w:rsidR="00AE0A47" w:rsidRDefault="00AE0A47"/>
        </w:tc>
      </w:tr>
      <w:tr w:rsidR="00AE0A47" w:rsidTr="002734D6">
        <w:trPr>
          <w:trHeight w:val="405"/>
        </w:trPr>
        <w:tc>
          <w:tcPr>
            <w:tcW w:w="3088" w:type="dxa"/>
          </w:tcPr>
          <w:p w:rsidR="00AE0A47" w:rsidRDefault="00AE0A47"/>
        </w:tc>
        <w:tc>
          <w:tcPr>
            <w:tcW w:w="3089" w:type="dxa"/>
          </w:tcPr>
          <w:p w:rsidR="00AE0A47" w:rsidRDefault="00AE0A47"/>
        </w:tc>
        <w:tc>
          <w:tcPr>
            <w:tcW w:w="3089" w:type="dxa"/>
          </w:tcPr>
          <w:p w:rsidR="00AE0A47" w:rsidRDefault="00AE0A47"/>
        </w:tc>
      </w:tr>
      <w:tr w:rsidR="00AE0A47" w:rsidTr="002734D6">
        <w:trPr>
          <w:trHeight w:val="405"/>
        </w:trPr>
        <w:tc>
          <w:tcPr>
            <w:tcW w:w="3088" w:type="dxa"/>
          </w:tcPr>
          <w:p w:rsidR="00AE0A47" w:rsidRDefault="00AE0A47"/>
        </w:tc>
        <w:tc>
          <w:tcPr>
            <w:tcW w:w="3089" w:type="dxa"/>
          </w:tcPr>
          <w:p w:rsidR="00AE0A47" w:rsidRDefault="00AE0A47"/>
        </w:tc>
        <w:tc>
          <w:tcPr>
            <w:tcW w:w="3089" w:type="dxa"/>
          </w:tcPr>
          <w:p w:rsidR="00AE0A47" w:rsidRDefault="00AE0A47"/>
        </w:tc>
      </w:tr>
      <w:tr w:rsidR="00AE0A47" w:rsidTr="002734D6">
        <w:trPr>
          <w:trHeight w:val="405"/>
        </w:trPr>
        <w:tc>
          <w:tcPr>
            <w:tcW w:w="3088" w:type="dxa"/>
          </w:tcPr>
          <w:p w:rsidR="00AE0A47" w:rsidRDefault="00AE0A47"/>
        </w:tc>
        <w:tc>
          <w:tcPr>
            <w:tcW w:w="3089" w:type="dxa"/>
          </w:tcPr>
          <w:p w:rsidR="00AE0A47" w:rsidRDefault="00AE0A47"/>
        </w:tc>
        <w:tc>
          <w:tcPr>
            <w:tcW w:w="3089" w:type="dxa"/>
          </w:tcPr>
          <w:p w:rsidR="00AE0A47" w:rsidRDefault="00AE0A47"/>
        </w:tc>
      </w:tr>
      <w:tr w:rsidR="00AE0A47" w:rsidTr="002734D6">
        <w:trPr>
          <w:trHeight w:val="405"/>
        </w:trPr>
        <w:tc>
          <w:tcPr>
            <w:tcW w:w="3088" w:type="dxa"/>
          </w:tcPr>
          <w:p w:rsidR="00AE0A47" w:rsidRDefault="00AE0A47"/>
        </w:tc>
        <w:tc>
          <w:tcPr>
            <w:tcW w:w="3089" w:type="dxa"/>
          </w:tcPr>
          <w:p w:rsidR="00AE0A47" w:rsidRDefault="00AE0A47"/>
        </w:tc>
        <w:tc>
          <w:tcPr>
            <w:tcW w:w="3089" w:type="dxa"/>
          </w:tcPr>
          <w:p w:rsidR="00AE0A47" w:rsidRDefault="00AE0A47"/>
        </w:tc>
      </w:tr>
    </w:tbl>
    <w:p w:rsidR="00E32126" w:rsidRDefault="00E32126"/>
    <w:sectPr w:rsidR="00E32126" w:rsidSect="00AE0A47">
      <w:headerReference w:type="default" r:id="rId7"/>
      <w:pgSz w:w="12240" w:h="15840"/>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80" w:rsidRDefault="00C67980" w:rsidP="00AE0A47">
      <w:r>
        <w:separator/>
      </w:r>
    </w:p>
  </w:endnote>
  <w:endnote w:type="continuationSeparator" w:id="0">
    <w:p w:rsidR="00C67980" w:rsidRDefault="00C67980" w:rsidP="00A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80" w:rsidRDefault="00C67980" w:rsidP="00AE0A47">
      <w:r>
        <w:separator/>
      </w:r>
    </w:p>
  </w:footnote>
  <w:footnote w:type="continuationSeparator" w:id="0">
    <w:p w:rsidR="00C67980" w:rsidRDefault="00C67980" w:rsidP="00AE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47" w:rsidRPr="00AE0A47" w:rsidRDefault="00AE0A47" w:rsidP="00AE0A47">
    <w:pPr>
      <w:rPr>
        <w:rFonts w:ascii="Calibri" w:eastAsia="Times New Roman" w:hAnsi="Calibri" w:cs="Calibri"/>
        <w:b/>
        <w:sz w:val="36"/>
        <w:szCs w:val="36"/>
      </w:rPr>
    </w:pPr>
    <w:r>
      <w:rPr>
        <w:rFonts w:ascii="Calibri" w:eastAsia="Times New Roman" w:hAnsi="Calibri" w:cs="Calibri"/>
        <w:sz w:val="36"/>
        <w:szCs w:val="36"/>
      </w:rPr>
      <w:t xml:space="preserve">   </w:t>
    </w:r>
    <w:r w:rsidRPr="00AE0A47">
      <w:rPr>
        <w:rFonts w:ascii="Calibri" w:eastAsia="Times New Roman" w:hAnsi="Calibri" w:cs="Calibri"/>
        <w:b/>
        <w:sz w:val="36"/>
        <w:szCs w:val="36"/>
      </w:rPr>
      <w:t>Petition to Minister for Communications, Paul Fletcher MP</w:t>
    </w:r>
  </w:p>
  <w:p w:rsidR="00AE0A47" w:rsidRPr="00AE0A47" w:rsidRDefault="00AE0A47" w:rsidP="00AE0A47">
    <w:pPr>
      <w:rPr>
        <w:rFonts w:ascii="Calibri" w:eastAsia="Times New Roman" w:hAnsi="Calibri" w:cs="Calibri"/>
        <w:b/>
        <w:sz w:val="28"/>
        <w:szCs w:val="28"/>
      </w:rPr>
    </w:pPr>
    <w:r w:rsidRPr="00AE0A47">
      <w:rPr>
        <w:rFonts w:ascii="Calibri" w:eastAsia="Times New Roman" w:hAnsi="Calibri" w:cs="Calibri"/>
        <w:b/>
        <w:sz w:val="28"/>
        <w:szCs w:val="28"/>
      </w:rPr>
      <w:t xml:space="preserve">    Cc: Members of the Senate Communications &amp; Environment Committee</w:t>
    </w:r>
  </w:p>
  <w:p w:rsidR="00AE0A47" w:rsidRDefault="00AE0A47" w:rsidP="00AE0A47">
    <w:pPr>
      <w:rPr>
        <w:rFonts w:ascii="Calibri" w:eastAsia="Times New Roman" w:hAnsi="Calibri" w:cs="Calibri"/>
        <w:sz w:val="22"/>
        <w:szCs w:val="22"/>
      </w:rPr>
    </w:pPr>
  </w:p>
  <w:p w:rsidR="00AE0A47" w:rsidRDefault="00AE0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3D"/>
    <w:rsid w:val="002734D6"/>
    <w:rsid w:val="002C33E0"/>
    <w:rsid w:val="006F760A"/>
    <w:rsid w:val="007F4175"/>
    <w:rsid w:val="00AE0A47"/>
    <w:rsid w:val="00B0427D"/>
    <w:rsid w:val="00BF0A3D"/>
    <w:rsid w:val="00C65335"/>
    <w:rsid w:val="00C67980"/>
    <w:rsid w:val="00D02B64"/>
    <w:rsid w:val="00D546FB"/>
    <w:rsid w:val="00E3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6300F-1E55-41FF-8CB2-E979D0C6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26"/>
    <w:rPr>
      <w:rFonts w:ascii="Segoe UI" w:hAnsi="Segoe UI" w:cs="Segoe UI"/>
      <w:sz w:val="18"/>
      <w:szCs w:val="18"/>
    </w:rPr>
  </w:style>
  <w:style w:type="paragraph" w:styleId="Header">
    <w:name w:val="header"/>
    <w:basedOn w:val="Normal"/>
    <w:link w:val="HeaderChar"/>
    <w:uiPriority w:val="99"/>
    <w:unhideWhenUsed/>
    <w:rsid w:val="00AE0A47"/>
    <w:pPr>
      <w:tabs>
        <w:tab w:val="center" w:pos="4680"/>
        <w:tab w:val="right" w:pos="9360"/>
      </w:tabs>
    </w:pPr>
  </w:style>
  <w:style w:type="character" w:customStyle="1" w:styleId="HeaderChar">
    <w:name w:val="Header Char"/>
    <w:basedOn w:val="DefaultParagraphFont"/>
    <w:link w:val="Header"/>
    <w:uiPriority w:val="99"/>
    <w:rsid w:val="00AE0A47"/>
    <w:rPr>
      <w:rFonts w:ascii="Times New Roman" w:hAnsi="Times New Roman" w:cs="Times New Roman"/>
      <w:sz w:val="24"/>
      <w:szCs w:val="24"/>
    </w:rPr>
  </w:style>
  <w:style w:type="paragraph" w:styleId="Footer">
    <w:name w:val="footer"/>
    <w:basedOn w:val="Normal"/>
    <w:link w:val="FooterChar"/>
    <w:uiPriority w:val="99"/>
    <w:unhideWhenUsed/>
    <w:rsid w:val="00AE0A47"/>
    <w:pPr>
      <w:tabs>
        <w:tab w:val="center" w:pos="4680"/>
        <w:tab w:val="right" w:pos="9360"/>
      </w:tabs>
    </w:pPr>
  </w:style>
  <w:style w:type="character" w:customStyle="1" w:styleId="FooterChar">
    <w:name w:val="Footer Char"/>
    <w:basedOn w:val="DefaultParagraphFont"/>
    <w:link w:val="Footer"/>
    <w:uiPriority w:val="99"/>
    <w:rsid w:val="00AE0A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CCAB-D614-47B4-946E-83A5ADA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Lazaro</dc:creator>
  <cp:keywords/>
  <dc:description/>
  <cp:lastModifiedBy>Leroy Lazaro</cp:lastModifiedBy>
  <cp:revision>2</cp:revision>
  <cp:lastPrinted>2020-11-10T23:21:00Z</cp:lastPrinted>
  <dcterms:created xsi:type="dcterms:W3CDTF">2020-11-11T00:05:00Z</dcterms:created>
  <dcterms:modified xsi:type="dcterms:W3CDTF">2020-11-11T00:05:00Z</dcterms:modified>
</cp:coreProperties>
</file>